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D6" w:rsidRPr="00EF5B52" w:rsidRDefault="00411BD6" w:rsidP="00411BD6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ТОМСКАЯ ОБЛАСТЬ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КАРГАСОКСКИЙ РАЙОН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</w:p>
    <w:p w:rsidR="00411BD6" w:rsidRPr="00EF5B52" w:rsidRDefault="00411BD6" w:rsidP="00411BD6">
      <w:pPr>
        <w:jc w:val="center"/>
        <w:rPr>
          <w:rFonts w:ascii="Times New Roman" w:hAnsi="Times New Roman"/>
          <w:b/>
          <w:color w:val="1D1B11"/>
          <w:sz w:val="24"/>
        </w:rPr>
      </w:pPr>
      <w:r w:rsidRPr="00EF5B52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411BD6" w:rsidRDefault="00411BD6" w:rsidP="00411BD6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EF5B5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C4DE0" w:rsidRPr="007C4DE0" w:rsidRDefault="007C4DE0" w:rsidP="007C4DE0">
      <w:pPr>
        <w:jc w:val="center"/>
        <w:rPr>
          <w:rFonts w:ascii="Times New Roman" w:hAnsi="Times New Roman"/>
          <w:sz w:val="24"/>
        </w:rPr>
      </w:pP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Pr="00EF5B52" w:rsidRDefault="001F022A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772305">
        <w:rPr>
          <w:rFonts w:ascii="Times New Roman" w:hAnsi="Times New Roman"/>
          <w:color w:val="000000"/>
          <w:sz w:val="24"/>
        </w:rPr>
        <w:t>02.11</w:t>
      </w:r>
      <w:r w:rsidR="00411BD6">
        <w:rPr>
          <w:rFonts w:ascii="Times New Roman" w:hAnsi="Times New Roman"/>
          <w:color w:val="000000"/>
          <w:sz w:val="24"/>
        </w:rPr>
        <w:t>.2017</w:t>
      </w:r>
      <w:r w:rsidR="00411BD6" w:rsidRPr="00EF5B52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="00411BD6" w:rsidRPr="00EF5B52">
        <w:rPr>
          <w:rFonts w:ascii="Times New Roman" w:hAnsi="Times New Roman"/>
          <w:b/>
          <w:color w:val="000000"/>
          <w:sz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</w:t>
      </w:r>
      <w:r w:rsidR="00411BD6" w:rsidRPr="00EF5B52">
        <w:rPr>
          <w:rFonts w:ascii="Times New Roman" w:hAnsi="Times New Roman"/>
          <w:b/>
          <w:color w:val="000000"/>
          <w:sz w:val="24"/>
        </w:rPr>
        <w:t xml:space="preserve">      № </w:t>
      </w:r>
      <w:r w:rsidR="00772305">
        <w:rPr>
          <w:rFonts w:ascii="Times New Roman" w:hAnsi="Times New Roman"/>
          <w:b/>
          <w:color w:val="000000"/>
          <w:sz w:val="24"/>
        </w:rPr>
        <w:t>11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утверждении нормативов </w:t>
      </w:r>
      <w:proofErr w:type="gramStart"/>
      <w:r>
        <w:rPr>
          <w:rFonts w:ascii="Times New Roman" w:hAnsi="Times New Roman"/>
          <w:color w:val="000000"/>
          <w:sz w:val="24"/>
        </w:rPr>
        <w:t>градостроительного</w:t>
      </w:r>
      <w:proofErr w:type="gramEnd"/>
    </w:p>
    <w:p w:rsidR="00411BD6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проектирования  муниципального     образования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 w:rsidRPr="00EF5B52">
        <w:rPr>
          <w:rFonts w:ascii="Times New Roman" w:hAnsi="Times New Roman"/>
          <w:color w:val="000000"/>
          <w:sz w:val="24"/>
        </w:rPr>
        <w:t>»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со статьей 29.4 Градостроительного кодекса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Россйской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411BD6" w:rsidRPr="001F022A" w:rsidRDefault="00411BD6" w:rsidP="00411BD6">
      <w:pPr>
        <w:pStyle w:val="a3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Утвердить нормативы градостроительного проектирования муниципального образования «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сельское поселение» согласно </w:t>
      </w:r>
      <w:hyperlink w:anchor="sub_100" w:history="1">
        <w:r w:rsidRPr="001F022A">
          <w:rPr>
            <w:rFonts w:cs="Times New Roman"/>
            <w:color w:val="1D1B11" w:themeColor="background2" w:themeShade="1A"/>
            <w:sz w:val="24"/>
            <w:szCs w:val="24"/>
          </w:rPr>
          <w:t>приложению</w:t>
        </w:r>
      </w:hyperlink>
      <w:r w:rsidRPr="001F022A">
        <w:rPr>
          <w:rFonts w:cs="Times New Roman"/>
          <w:color w:val="1D1B11" w:themeColor="background2" w:themeShade="1A"/>
          <w:sz w:val="24"/>
          <w:szCs w:val="24"/>
        </w:rPr>
        <w:t>.</w:t>
      </w:r>
    </w:p>
    <w:p w:rsidR="00411BD6" w:rsidRPr="001F022A" w:rsidRDefault="00411BD6" w:rsidP="00411BD6">
      <w:pPr>
        <w:pStyle w:val="a3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Разместить утвержденные нормативы градостроительного проектирования муниципального образования «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сельское поселение» в </w:t>
      </w: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>федеральной</w:t>
      </w:r>
      <w:proofErr w:type="gram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государственной информационной системе территориального планирования на сайте по адресу: </w:t>
      </w:r>
      <w:hyperlink r:id="rId5" w:history="1">
        <w:r w:rsidRPr="001F022A">
          <w:rPr>
            <w:rStyle w:val="a4"/>
            <w:rFonts w:cs="Times New Roman"/>
            <w:color w:val="1D1B11" w:themeColor="background2" w:themeShade="1A"/>
            <w:sz w:val="24"/>
            <w:szCs w:val="24"/>
          </w:rPr>
          <w:t>http://fgis.minregion.ru</w:t>
        </w:r>
      </w:hyperlink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3. Обнародовать настоящее решение в порядке, установленном Уставом муниципального образования «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поселение». </w:t>
      </w:r>
    </w:p>
    <w:p w:rsidR="00411BD6" w:rsidRPr="001F022A" w:rsidRDefault="00411BD6" w:rsidP="00411B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 xml:space="preserve">4. </w:t>
      </w:r>
      <w:proofErr w:type="gramStart"/>
      <w:r w:rsidRPr="001F022A">
        <w:rPr>
          <w:color w:val="1D1B11" w:themeColor="background2" w:themeShade="1A"/>
        </w:rPr>
        <w:t>Контроль за</w:t>
      </w:r>
      <w:proofErr w:type="gramEnd"/>
      <w:r w:rsidRPr="001F022A">
        <w:rPr>
          <w:color w:val="1D1B11" w:themeColor="background2" w:themeShade="1A"/>
        </w:rPr>
        <w:t xml:space="preserve"> исполнением настоящего решения возложить на Главу</w:t>
      </w:r>
      <w:r w:rsidR="001F022A" w:rsidRPr="001F022A">
        <w:rPr>
          <w:color w:val="1D1B11" w:themeColor="background2" w:themeShade="1A"/>
        </w:rPr>
        <w:t xml:space="preserve"> </w:t>
      </w:r>
      <w:proofErr w:type="spellStart"/>
      <w:r w:rsidR="001F022A" w:rsidRPr="001F022A">
        <w:rPr>
          <w:color w:val="1D1B11" w:themeColor="background2" w:themeShade="1A"/>
        </w:rPr>
        <w:t>Усть-Тымского</w:t>
      </w:r>
      <w:proofErr w:type="spellEnd"/>
      <w:r w:rsidRPr="001F022A">
        <w:rPr>
          <w:color w:val="1D1B11" w:themeColor="background2" w:themeShade="1A"/>
        </w:rPr>
        <w:t xml:space="preserve"> сельского поселения.</w:t>
      </w:r>
    </w:p>
    <w:p w:rsidR="00753606" w:rsidRPr="001F022A" w:rsidRDefault="0075360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1F022A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</w:t>
      </w:r>
    </w:p>
    <w:p w:rsidR="001F022A" w:rsidRPr="001F022A" w:rsidRDefault="001F022A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А.А.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Pr="001F022A" w:rsidRDefault="00411BD6" w:rsidP="00411BD6">
      <w:pPr>
        <w:ind w:firstLine="0"/>
        <w:rPr>
          <w:color w:val="1D1B11" w:themeColor="background2" w:themeShade="1A"/>
        </w:rPr>
      </w:pPr>
    </w:p>
    <w:p w:rsidR="00411BD6" w:rsidRPr="001F022A" w:rsidRDefault="00411BD6" w:rsidP="00411BD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Приложение </w:t>
      </w:r>
    </w:p>
    <w:p w:rsidR="001F022A" w:rsidRPr="001F022A" w:rsidRDefault="00411BD6" w:rsidP="001F022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>к Решению</w:t>
      </w:r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</w:t>
      </w:r>
      <w:proofErr w:type="spellStart"/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>СоветаУсть-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</w:t>
      </w:r>
    </w:p>
    <w:p w:rsidR="00411BD6" w:rsidRPr="001F022A" w:rsidRDefault="00411BD6" w:rsidP="001F022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сельского поселения </w:t>
      </w:r>
    </w:p>
    <w:p w:rsidR="00411BD6" w:rsidRPr="001F022A" w:rsidRDefault="00411BD6" w:rsidP="00411BD6">
      <w:pPr>
        <w:tabs>
          <w:tab w:val="left" w:pos="8647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                                                                                                        </w:t>
      </w:r>
      <w:r w:rsidR="00772305">
        <w:rPr>
          <w:rFonts w:ascii="Times New Roman" w:hAnsi="Times New Roman"/>
          <w:bCs/>
          <w:color w:val="1D1B11" w:themeColor="background2" w:themeShade="1A"/>
          <w:sz w:val="24"/>
        </w:rPr>
        <w:t xml:space="preserve">           </w:t>
      </w:r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>о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>т</w:t>
      </w:r>
      <w:r w:rsidR="00772305">
        <w:rPr>
          <w:rFonts w:ascii="Times New Roman" w:hAnsi="Times New Roman"/>
          <w:bCs/>
          <w:color w:val="1D1B11" w:themeColor="background2" w:themeShade="1A"/>
          <w:sz w:val="24"/>
        </w:rPr>
        <w:t xml:space="preserve"> 02.11.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2017  № </w:t>
      </w:r>
      <w:r w:rsidR="00772305">
        <w:rPr>
          <w:rFonts w:ascii="Times New Roman" w:hAnsi="Times New Roman"/>
          <w:bCs/>
          <w:color w:val="1D1B11" w:themeColor="background2" w:themeShade="1A"/>
          <w:sz w:val="24"/>
        </w:rPr>
        <w:t>11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bCs/>
          <w:color w:val="1D1B11" w:themeColor="background2" w:themeShade="1A"/>
          <w:sz w:val="24"/>
        </w:rPr>
        <w:t xml:space="preserve">Нормативы градостроительного проектирования 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муниципального образования «</w:t>
      </w:r>
      <w:proofErr w:type="spellStart"/>
      <w:r w:rsidR="001F022A" w:rsidRPr="001F022A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="001F022A" w:rsidRPr="001F022A">
        <w:rPr>
          <w:rFonts w:ascii="Times New Roman" w:hAnsi="Times New Roman"/>
          <w:b/>
          <w:color w:val="1D1B11" w:themeColor="background2" w:themeShade="1A"/>
          <w:sz w:val="24"/>
        </w:rPr>
        <w:t xml:space="preserve"> </w:t>
      </w: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сельское поселение»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1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284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ОБЩИЕ ПОЛОЖЕНИЯ</w:t>
      </w:r>
    </w:p>
    <w:p w:rsidR="00411BD6" w:rsidRPr="001F022A" w:rsidRDefault="00411BD6" w:rsidP="00411BD6">
      <w:pPr>
        <w:ind w:firstLine="284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color w:val="1D1B11" w:themeColor="background2" w:themeShade="1A"/>
          <w:sz w:val="24"/>
          <w:szCs w:val="24"/>
        </w:rPr>
      </w:pP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>Нормативы градостроительного проектирования муниципального образования «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Тымское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сельское поселение»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водоснабжения;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>, утвержденного решением Совета</w:t>
      </w:r>
      <w:r w:rsidR="001F022A" w:rsidRPr="001F022A">
        <w:rPr>
          <w:rFonts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="001F022A" w:rsidRPr="001F022A">
        <w:rPr>
          <w:rFonts w:cs="Times New Roman"/>
          <w:bCs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 xml:space="preserve"> от ..201 № .</w:t>
      </w:r>
    </w:p>
    <w:p w:rsidR="00411BD6" w:rsidRPr="001F022A" w:rsidRDefault="00411BD6" w:rsidP="00411BD6">
      <w:pPr>
        <w:pStyle w:val="a3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Нормативы разработаны с целью решения  следующих задач: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411BD6" w:rsidRPr="001F022A" w:rsidRDefault="00411BD6" w:rsidP="00411BD6">
      <w:pPr>
        <w:widowControl w:val="0"/>
        <w:autoSpaceDE w:val="0"/>
        <w:autoSpaceDN w:val="0"/>
        <w:adjustRightInd w:val="0"/>
        <w:ind w:right="-2" w:firstLine="284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2) создание условий для планирования территорий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411BD6" w:rsidRPr="001F022A" w:rsidRDefault="00411BD6" w:rsidP="00411BD6">
      <w:pPr>
        <w:widowControl w:val="0"/>
        <w:autoSpaceDE w:val="0"/>
        <w:autoSpaceDN w:val="0"/>
        <w:adjustRightInd w:val="0"/>
        <w:ind w:right="-2" w:firstLine="284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3) обеспечения доступности объектов социального и коммунально-бытового назначения для населения;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411BD6" w:rsidRPr="001F022A" w:rsidRDefault="00411BD6" w:rsidP="00411BD6">
      <w:pPr>
        <w:pStyle w:val="3"/>
        <w:ind w:firstLine="284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2.1.  Объекты, относящиеся к области электроснабжения.</w:t>
      </w:r>
    </w:p>
    <w:p w:rsidR="00411BD6" w:rsidRPr="001F022A" w:rsidRDefault="00411BD6" w:rsidP="00411BD6">
      <w:pPr>
        <w:ind w:firstLine="284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млн. кВт </w:t>
            </w:r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692780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proofErr w:type="spellStart"/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сельского 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11BD6" w:rsidRPr="001F022A" w:rsidTr="003C676E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0,1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11BD6" w:rsidRPr="001F022A" w:rsidTr="003C676E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686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lastRenderedPageBreak/>
        <w:t>2.1.2. Обоснование расчетных показателей:</w:t>
      </w:r>
    </w:p>
    <w:p w:rsidR="00411BD6" w:rsidRPr="001F022A" w:rsidRDefault="00411BD6" w:rsidP="00411BD6">
      <w:pPr>
        <w:tabs>
          <w:tab w:val="num" w:pos="720"/>
        </w:tabs>
        <w:spacing w:before="120" w:after="120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411BD6" w:rsidRPr="001F022A" w:rsidRDefault="00411BD6" w:rsidP="00411BD6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2. 2  Объекты, относящиеся к области </w:t>
      </w:r>
      <w:r w:rsidRPr="001F022A">
        <w:rPr>
          <w:rFonts w:ascii="Times New Roman" w:eastAsia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теплоснабжение.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2.2.1  Расчетные показатели: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Норматив</w:t>
            </w:r>
          </w:p>
        </w:tc>
        <w:tc>
          <w:tcPr>
            <w:tcW w:w="1984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1803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11BD6" w:rsidRPr="001F022A" w:rsidRDefault="001F022A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Максимальная часовая тепловая </w:t>
            </w:r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нагрузка потребителей (ЖКС, </w:t>
            </w:r>
            <w:proofErr w:type="spellStart"/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пром</w:t>
            </w:r>
            <w:proofErr w:type="spellEnd"/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0,</w:t>
            </w:r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233</w:t>
            </w:r>
          </w:p>
        </w:tc>
        <w:tc>
          <w:tcPr>
            <w:tcW w:w="1984" w:type="dxa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proofErr w:type="spellStart"/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contextualSpacing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ind w:firstLine="426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2.2.2  Обоснование расчетных показателей: </w:t>
      </w:r>
    </w:p>
    <w:p w:rsidR="00411BD6" w:rsidRPr="001F022A" w:rsidRDefault="00411BD6" w:rsidP="00411BD6">
      <w:pPr>
        <w:ind w:firstLine="426"/>
        <w:contextualSpacing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 тепловых нагрузок потребителей установлены  Генеральным планом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в соответствии с СП 131.13330.2012 «Свод правил.</w:t>
      </w:r>
      <w:proofErr w:type="gram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Строительная климатология»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41-02-2003).</w:t>
      </w:r>
    </w:p>
    <w:p w:rsidR="00411BD6" w:rsidRPr="001F022A" w:rsidRDefault="00411BD6" w:rsidP="00411BD6">
      <w:pPr>
        <w:shd w:val="clear" w:color="auto" w:fill="FFFFFF"/>
        <w:tabs>
          <w:tab w:val="left" w:pos="1134"/>
          <w:tab w:val="left" w:pos="1418"/>
        </w:tabs>
        <w:ind w:right="-204" w:firstLine="425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Объекты, относящиеся к области </w:t>
      </w:r>
      <w:r w:rsidRPr="001F022A"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  <w:t>водоснабжения.</w:t>
      </w:r>
    </w:p>
    <w:p w:rsidR="00411BD6" w:rsidRPr="001F022A" w:rsidRDefault="00411BD6" w:rsidP="00411BD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2.3.1  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Расчетные показатели:</w:t>
      </w:r>
    </w:p>
    <w:p w:rsidR="00411BD6" w:rsidRPr="001F022A" w:rsidRDefault="00411BD6" w:rsidP="00411BD6">
      <w:pPr>
        <w:pStyle w:val="a3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</w:t>
            </w:r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606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</w:t>
            </w:r>
            <w:proofErr w:type="gramEnd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proofErr w:type="spellStart"/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Отсутствует</w:t>
            </w: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Закрытый контур</w:t>
            </w:r>
          </w:p>
        </w:tc>
      </w:tr>
      <w:tr w:rsidR="00411BD6" w:rsidRPr="001F022A" w:rsidTr="003C676E">
        <w:trPr>
          <w:trHeight w:val="449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тыс. м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3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2.3.2  Обоснование расчетных показателей: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 водопотребления установлен Генеральным планом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2.04.01-85)</w:t>
      </w:r>
    </w:p>
    <w:p w:rsidR="00411BD6" w:rsidRPr="001F022A" w:rsidRDefault="00411BD6" w:rsidP="00411BD6">
      <w:pPr>
        <w:pStyle w:val="a3"/>
        <w:spacing w:after="0" w:line="100" w:lineRule="atLeast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  <w:t>Автомобильные дороги местного значения.</w:t>
      </w:r>
    </w:p>
    <w:p w:rsidR="00411BD6" w:rsidRPr="001F022A" w:rsidRDefault="00411BD6" w:rsidP="00411BD6">
      <w:pPr>
        <w:pStyle w:val="a3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2.4.1  Расчетные показатели:</w:t>
      </w:r>
    </w:p>
    <w:p w:rsidR="00411BD6" w:rsidRPr="001F022A" w:rsidRDefault="00411BD6" w:rsidP="00411BD6">
      <w:pPr>
        <w:pStyle w:val="a3"/>
        <w:spacing w:after="0" w:line="100" w:lineRule="atLeast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411BD6" w:rsidRPr="001F022A" w:rsidTr="003C676E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1F022A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proofErr w:type="spellStart"/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2.4.2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улично-дорожной сети установлены Генеральным планом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2.07.01-89*).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5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2.5.1  Расчетные показатели: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411BD6" w:rsidRPr="001F022A" w:rsidTr="003C676E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proofErr w:type="spellStart"/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Тымского</w:t>
            </w:r>
            <w:proofErr w:type="spell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pStyle w:val="a3"/>
        <w:ind w:left="900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tabs>
          <w:tab w:val="left" w:pos="993"/>
        </w:tabs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2.5.2.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по обеспеченности объектами образования установлены Генеральным планом </w:t>
      </w:r>
      <w:proofErr w:type="spellStart"/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2.07.01-89*). </w:t>
      </w:r>
    </w:p>
    <w:p w:rsidR="00411BD6" w:rsidRPr="001F022A" w:rsidRDefault="00411BD6" w:rsidP="00411BD6">
      <w:pPr>
        <w:pStyle w:val="a3"/>
        <w:ind w:left="900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Объекты, относящиеся к области здравоохранения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2.6.1  Расчетные показатели: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411BD6" w:rsidRPr="001F022A" w:rsidTr="003C676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посещений/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30-102-99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"Свод правил. Планировка и 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застройка территорий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  <w:highlight w:val="yellow"/>
              </w:rPr>
            </w:pPr>
          </w:p>
        </w:tc>
      </w:tr>
      <w:tr w:rsidR="00411BD6" w:rsidRPr="001F022A" w:rsidTr="003C676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42.13330.2011 "Свод правил.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2.6.2 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по обеспеченности объектами, относящимся к области здравоохранения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1F022A">
        <w:rPr>
          <w:rFonts w:ascii="Times New Roman" w:hAnsi="Times New Roman"/>
          <w:color w:val="1D1B11" w:themeColor="background2" w:themeShade="1A"/>
          <w:sz w:val="24"/>
        </w:rPr>
        <w:t>СНиП</w:t>
      </w:r>
      <w:proofErr w:type="spellEnd"/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2.07.01-89*) и СП 30-102-99 «Свод правил. Планировка и застройка территорий малоэтажного жилищного строительства».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Объекты, относящиеся к области физической культуры и массового спорта.</w:t>
      </w:r>
    </w:p>
    <w:p w:rsidR="00411BD6" w:rsidRPr="001F022A" w:rsidRDefault="00411BD6" w:rsidP="00411BD6">
      <w:pPr>
        <w:pStyle w:val="a3"/>
        <w:tabs>
          <w:tab w:val="left" w:pos="851"/>
        </w:tabs>
        <w:spacing w:after="0"/>
        <w:ind w:left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2.7.1   Расчетные показатели: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411BD6" w:rsidRPr="001F022A" w:rsidTr="003C676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га</w:t>
            </w:r>
            <w:proofErr w:type="gramEnd"/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42.13330.2011 "Свод правил.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411BD6" w:rsidRPr="001F022A" w:rsidRDefault="00411BD6" w:rsidP="00411BD6">
      <w:pPr>
        <w:pStyle w:val="a3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1"/>
        <w:tabs>
          <w:tab w:val="left" w:pos="709"/>
          <w:tab w:val="left" w:pos="1134"/>
        </w:tabs>
        <w:spacing w:before="0"/>
        <w:ind w:right="-206" w:firstLine="425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3. ПРАВИЛА И ОБЛАСТЬ ПРИМЕНЕНИЯ НОРМАТИВОВ ГРАДОСТРОИТЕЛЬНОГО ПРОЕКТИРОВАНИЯ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3.2. </w:t>
      </w: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  <w:proofErr w:type="gramEnd"/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3.3. </w:t>
      </w: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документации по 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lastRenderedPageBreak/>
        <w:t xml:space="preserve">планировке территории, следует учитывать наличие на территории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к размещению объектов.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При определении </w:t>
      </w: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3.4. Нормативы применяются: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 при подготовке и утверждении документации по планировке территорий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proofErr w:type="gramStart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proofErr w:type="spellStart"/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поселения, документации по планировке территорий.</w:t>
      </w:r>
    </w:p>
    <w:p w:rsidR="00411BD6" w:rsidRPr="001F022A" w:rsidRDefault="00411BD6" w:rsidP="00411BD6">
      <w:pPr>
        <w:pStyle w:val="a3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sectPr w:rsidR="00411BD6" w:rsidRPr="001F022A" w:rsidSect="00411BD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1BD6"/>
    <w:rsid w:val="000A3F75"/>
    <w:rsid w:val="001F022A"/>
    <w:rsid w:val="00411BD6"/>
    <w:rsid w:val="004B724E"/>
    <w:rsid w:val="005F5122"/>
    <w:rsid w:val="006F32C9"/>
    <w:rsid w:val="00753606"/>
    <w:rsid w:val="00772305"/>
    <w:rsid w:val="0078134D"/>
    <w:rsid w:val="0079386B"/>
    <w:rsid w:val="007C4DE0"/>
    <w:rsid w:val="008D7DCB"/>
    <w:rsid w:val="00BC1AF3"/>
    <w:rsid w:val="00C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6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411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BD6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B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11BD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qFormat/>
    <w:rsid w:val="00411BD6"/>
    <w:pPr>
      <w:suppressAutoHyphens/>
      <w:spacing w:after="200" w:line="276" w:lineRule="auto"/>
      <w:ind w:left="720" w:firstLine="0"/>
      <w:contextualSpacing/>
      <w:jc w:val="left"/>
    </w:pPr>
    <w:rPr>
      <w:rFonts w:ascii="Times New Roman" w:eastAsia="SimSun" w:hAnsi="Times New Roman" w:cs="Calibr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411BD6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411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B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5">
    <w:name w:val="Базовый"/>
    <w:rsid w:val="00411BD6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"/>
    <w:rsid w:val="00411BD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411BD6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/f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2017-10-25T05:26:00Z</dcterms:created>
  <dcterms:modified xsi:type="dcterms:W3CDTF">2017-11-07T12:06:00Z</dcterms:modified>
</cp:coreProperties>
</file>